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36" w:rsidRDefault="00637236" w:rsidP="00637236">
      <w:pPr>
        <w:jc w:val="center"/>
      </w:pPr>
      <w:r>
        <w:rPr>
          <w:b/>
        </w:rPr>
        <w:t>SKALA  GLASGOW</w:t>
      </w:r>
    </w:p>
    <w:p w:rsidR="00637236" w:rsidRPr="006972D1" w:rsidRDefault="00637236" w:rsidP="00637236">
      <w:pPr>
        <w:pStyle w:val="NormalnyWeb"/>
        <w:spacing w:after="0" w:line="360" w:lineRule="auto"/>
      </w:pPr>
      <w:r w:rsidRPr="006972D1">
        <w:t xml:space="preserve">Imię i nazwisko świadczeniobiorcy </w:t>
      </w:r>
      <w:r>
        <w:t xml:space="preserve"> </w:t>
      </w:r>
      <w:r w:rsidRPr="006972D1">
        <w:t>............................................................................................</w:t>
      </w:r>
    </w:p>
    <w:p w:rsidR="00637236" w:rsidRPr="006972D1" w:rsidRDefault="00637236" w:rsidP="00637236">
      <w:pPr>
        <w:pStyle w:val="NormalnyWeb"/>
        <w:spacing w:after="0" w:line="360" w:lineRule="auto"/>
      </w:pPr>
      <w:r w:rsidRPr="006972D1">
        <w:t xml:space="preserve">Adres zamieszkania </w:t>
      </w:r>
      <w:r>
        <w:t xml:space="preserve"> </w:t>
      </w:r>
      <w:r w:rsidRPr="006972D1">
        <w:t>.....................................................................................................................</w:t>
      </w:r>
    </w:p>
    <w:p w:rsidR="00637236" w:rsidRDefault="00637236" w:rsidP="00637236">
      <w:pPr>
        <w:pStyle w:val="NormalnyWeb"/>
        <w:spacing w:after="0" w:line="480" w:lineRule="auto"/>
      </w:pPr>
      <w:r w:rsidRPr="006972D1">
        <w:t>Numer PESEL, a w przypadku braku numeru PESEL, numer dokumentu potwierdzającego tożsamość</w:t>
      </w:r>
      <w:r>
        <w:t xml:space="preserve"> ………………………………...</w:t>
      </w:r>
      <w:r w:rsidRPr="006972D1">
        <w:t>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004"/>
      </w:tblGrid>
      <w:tr w:rsidR="00637236" w:rsidTr="007B5385">
        <w:tc>
          <w:tcPr>
            <w:tcW w:w="648" w:type="dxa"/>
          </w:tcPr>
          <w:p w:rsidR="00637236" w:rsidRDefault="00637236" w:rsidP="007B5385">
            <w:pPr>
              <w:pStyle w:val="NormalnyWeb"/>
              <w:spacing w:after="0"/>
              <w:jc w:val="center"/>
            </w:pPr>
            <w:r>
              <w:t>L.p.</w:t>
            </w:r>
          </w:p>
        </w:tc>
        <w:tc>
          <w:tcPr>
            <w:tcW w:w="7560" w:type="dxa"/>
          </w:tcPr>
          <w:p w:rsidR="00637236" w:rsidRDefault="00637236" w:rsidP="007B5385">
            <w:pPr>
              <w:pStyle w:val="NormalnyWeb"/>
              <w:spacing w:after="0"/>
              <w:jc w:val="center"/>
            </w:pPr>
            <w:r>
              <w:t>Ocenie podlega</w:t>
            </w:r>
          </w:p>
        </w:tc>
        <w:tc>
          <w:tcPr>
            <w:tcW w:w="1004" w:type="dxa"/>
          </w:tcPr>
          <w:p w:rsidR="00637236" w:rsidRDefault="00637236" w:rsidP="007B5385">
            <w:pPr>
              <w:pStyle w:val="NormalnyWeb"/>
              <w:spacing w:after="0"/>
              <w:jc w:val="center"/>
            </w:pPr>
            <w:r>
              <w:t>Wynik</w:t>
            </w:r>
          </w:p>
        </w:tc>
      </w:tr>
      <w:tr w:rsidR="00637236" w:rsidTr="007B5385">
        <w:tc>
          <w:tcPr>
            <w:tcW w:w="648" w:type="dxa"/>
          </w:tcPr>
          <w:p w:rsidR="00637236" w:rsidRPr="007A0E19" w:rsidRDefault="00637236" w:rsidP="007B5385">
            <w:pPr>
              <w:pStyle w:val="NormalnyWeb"/>
              <w:spacing w:after="0"/>
              <w:jc w:val="center"/>
              <w:rPr>
                <w:sz w:val="22"/>
                <w:szCs w:val="22"/>
              </w:rPr>
            </w:pPr>
            <w:r w:rsidRPr="007A0E19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</w:tcPr>
          <w:p w:rsidR="00637236" w:rsidRPr="007A0E19" w:rsidRDefault="00637236" w:rsidP="007B5385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7A0E19">
              <w:rPr>
                <w:b/>
                <w:bCs/>
                <w:sz w:val="22"/>
                <w:szCs w:val="22"/>
              </w:rPr>
              <w:t>Otwieranie oczu:</w:t>
            </w:r>
          </w:p>
          <w:p w:rsidR="00637236" w:rsidRPr="007A0E19" w:rsidRDefault="00637236" w:rsidP="007B5385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7A0E19">
              <w:rPr>
                <w:sz w:val="22"/>
                <w:szCs w:val="22"/>
              </w:rPr>
              <w:t xml:space="preserve"> 4 punkty – spontaniczne</w:t>
            </w:r>
          </w:p>
          <w:p w:rsidR="00637236" w:rsidRPr="007A0E19" w:rsidRDefault="00637236" w:rsidP="007B5385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7A0E19">
              <w:rPr>
                <w:sz w:val="22"/>
                <w:szCs w:val="22"/>
              </w:rPr>
              <w:t xml:space="preserve"> 3 punkty – na polecenie</w:t>
            </w:r>
          </w:p>
          <w:p w:rsidR="00637236" w:rsidRPr="007A0E19" w:rsidRDefault="00637236" w:rsidP="007B5385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7A0E19">
              <w:rPr>
                <w:sz w:val="22"/>
                <w:szCs w:val="22"/>
              </w:rPr>
              <w:t xml:space="preserve"> 2 punkty – na bodźce bólowe</w:t>
            </w:r>
          </w:p>
          <w:p w:rsidR="00637236" w:rsidRPr="007A0E19" w:rsidRDefault="00637236" w:rsidP="007B5385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7A0E19">
              <w:rPr>
                <w:sz w:val="22"/>
                <w:szCs w:val="22"/>
              </w:rPr>
              <w:t xml:space="preserve"> 1 punkt – nie otwiera oczu </w:t>
            </w:r>
          </w:p>
        </w:tc>
        <w:tc>
          <w:tcPr>
            <w:tcW w:w="1004" w:type="dxa"/>
          </w:tcPr>
          <w:p w:rsidR="00637236" w:rsidRDefault="00637236" w:rsidP="007B5385">
            <w:pPr>
              <w:pStyle w:val="NormalnyWeb"/>
              <w:spacing w:after="0"/>
            </w:pPr>
          </w:p>
        </w:tc>
      </w:tr>
      <w:tr w:rsidR="00637236" w:rsidTr="007B5385">
        <w:tc>
          <w:tcPr>
            <w:tcW w:w="648" w:type="dxa"/>
          </w:tcPr>
          <w:p w:rsidR="00637236" w:rsidRDefault="00637236" w:rsidP="007B5385">
            <w:pPr>
              <w:pStyle w:val="NormalnyWeb"/>
              <w:spacing w:after="0"/>
              <w:jc w:val="center"/>
            </w:pPr>
            <w:r>
              <w:t>2.</w:t>
            </w:r>
          </w:p>
        </w:tc>
        <w:tc>
          <w:tcPr>
            <w:tcW w:w="7560" w:type="dxa"/>
          </w:tcPr>
          <w:p w:rsidR="00637236" w:rsidRPr="007A0E19" w:rsidRDefault="00637236" w:rsidP="007B5385">
            <w:pPr>
              <w:pStyle w:val="NormalnyWeb"/>
              <w:spacing w:before="0" w:beforeAutospacing="0" w:after="0"/>
              <w:rPr>
                <w:b/>
              </w:rPr>
            </w:pPr>
            <w:r w:rsidRPr="007A0E19">
              <w:rPr>
                <w:b/>
              </w:rPr>
              <w:t>Kontakt słowny: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5 punktów – odpowiedź logiczna, pacjent zorientowany co do miejsca,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 xml:space="preserve">   czasu i własnej osoby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4 punkty – odpowiedź splątana, pacjent zdezorientowany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3 punkty – odpowiedź nieadekwatna, nie na temat lub krzyk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2 punkty – niezrozumiałe dźwięki, pojękiwanie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1 punkt – bez reakcji</w:t>
            </w:r>
          </w:p>
        </w:tc>
        <w:tc>
          <w:tcPr>
            <w:tcW w:w="1004" w:type="dxa"/>
          </w:tcPr>
          <w:p w:rsidR="00637236" w:rsidRDefault="00637236" w:rsidP="007B5385">
            <w:pPr>
              <w:pStyle w:val="NormalnyWeb"/>
              <w:spacing w:after="0"/>
            </w:pPr>
          </w:p>
        </w:tc>
      </w:tr>
      <w:tr w:rsidR="00637236" w:rsidTr="007B5385">
        <w:tc>
          <w:tcPr>
            <w:tcW w:w="648" w:type="dxa"/>
          </w:tcPr>
          <w:p w:rsidR="00637236" w:rsidRDefault="00637236" w:rsidP="007B5385">
            <w:pPr>
              <w:pStyle w:val="NormalnyWeb"/>
              <w:spacing w:after="0"/>
              <w:jc w:val="center"/>
            </w:pPr>
            <w:r>
              <w:t>3.</w:t>
            </w:r>
          </w:p>
        </w:tc>
        <w:tc>
          <w:tcPr>
            <w:tcW w:w="7560" w:type="dxa"/>
          </w:tcPr>
          <w:p w:rsidR="00637236" w:rsidRDefault="00637236" w:rsidP="007B5385">
            <w:pPr>
              <w:pStyle w:val="NormalnyWeb"/>
              <w:spacing w:before="0" w:beforeAutospacing="0" w:after="0"/>
            </w:pPr>
            <w:r w:rsidRPr="007A0E19">
              <w:rPr>
                <w:b/>
                <w:bCs/>
              </w:rPr>
              <w:t>Reakcja ruchowa: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6 punktów – spełnianie ruchowych poleceń słownych, migowych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5 punktów – ruchy celowe, pacjent lokalizuje bodziec bólowy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4 punkty – reakcja obronna na ból, wycofanie, próba usunięcia bodźca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 xml:space="preserve">   bólowego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3 punkty – patologiczna reakcja zgięciowa, odkorowanie (przywiedzenie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 xml:space="preserve">   ramion, zgięcie w stawach łokciowych i ręki, </w:t>
            </w:r>
            <w:proofErr w:type="spellStart"/>
            <w:r>
              <w:t>przeprost</w:t>
            </w:r>
            <w:proofErr w:type="spellEnd"/>
            <w:r>
              <w:t xml:space="preserve"> w stawach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 xml:space="preserve">   kończyn dolnych)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2 punkty – patologiczna reakcja wyprostna, odmóżdżenie (odwiedzenie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 xml:space="preserve">   i obrót ramion do wewnątrz, wyprost w stawach łokciowych, nawrócenie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 xml:space="preserve">   przedramion i zgięcie stawów ręki, </w:t>
            </w:r>
            <w:proofErr w:type="spellStart"/>
            <w:r>
              <w:t>przeprost</w:t>
            </w:r>
            <w:proofErr w:type="spellEnd"/>
            <w:r>
              <w:t xml:space="preserve"> w stawach kończyn dolnych,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 xml:space="preserve">   odwrócenie stopy)</w:t>
            </w:r>
          </w:p>
          <w:p w:rsidR="00637236" w:rsidRDefault="00637236" w:rsidP="007B5385">
            <w:pPr>
              <w:pStyle w:val="NormalnyWeb"/>
              <w:spacing w:before="0" w:beforeAutospacing="0" w:after="0"/>
            </w:pPr>
            <w:r>
              <w:t>1 punkt – bez reakcji</w:t>
            </w:r>
          </w:p>
        </w:tc>
        <w:tc>
          <w:tcPr>
            <w:tcW w:w="1004" w:type="dxa"/>
          </w:tcPr>
          <w:p w:rsidR="00637236" w:rsidRDefault="00637236" w:rsidP="007B5385">
            <w:pPr>
              <w:pStyle w:val="NormalnyWeb"/>
              <w:spacing w:after="0"/>
            </w:pPr>
          </w:p>
        </w:tc>
      </w:tr>
      <w:tr w:rsidR="00637236" w:rsidTr="007B5385">
        <w:tc>
          <w:tcPr>
            <w:tcW w:w="8208" w:type="dxa"/>
            <w:gridSpan w:val="2"/>
          </w:tcPr>
          <w:p w:rsidR="00637236" w:rsidRPr="007A0E19" w:rsidRDefault="00637236" w:rsidP="007B5385">
            <w:pPr>
              <w:pStyle w:val="NormalnyWeb"/>
              <w:spacing w:before="0" w:beforeAutospacing="0" w:after="0"/>
              <w:rPr>
                <w:b/>
              </w:rPr>
            </w:pPr>
            <w:r w:rsidRPr="007A0E19">
              <w:rPr>
                <w:b/>
              </w:rPr>
              <w:t xml:space="preserve">                                                                                               Wynik kwalifikacji:</w:t>
            </w:r>
          </w:p>
        </w:tc>
        <w:tc>
          <w:tcPr>
            <w:tcW w:w="1004" w:type="dxa"/>
          </w:tcPr>
          <w:p w:rsidR="00637236" w:rsidRDefault="00637236" w:rsidP="007B5385">
            <w:pPr>
              <w:pStyle w:val="NormalnyWeb"/>
              <w:spacing w:after="0"/>
            </w:pPr>
          </w:p>
        </w:tc>
      </w:tr>
    </w:tbl>
    <w:p w:rsidR="00637236" w:rsidRPr="00EF6211" w:rsidRDefault="00637236" w:rsidP="00637236">
      <w:pPr>
        <w:pStyle w:val="NormalnyWeb"/>
        <w:spacing w:before="0" w:beforeAutospacing="0" w:after="0"/>
        <w:rPr>
          <w:sz w:val="22"/>
          <w:szCs w:val="22"/>
        </w:rPr>
      </w:pPr>
      <w:r w:rsidRPr="00EF6211">
        <w:rPr>
          <w:sz w:val="22"/>
          <w:szCs w:val="22"/>
        </w:rPr>
        <w:t>Na podstawie skali Glasgow zaburzenia przytomności dzielimy na:</w:t>
      </w:r>
    </w:p>
    <w:p w:rsidR="00637236" w:rsidRPr="00EF6211" w:rsidRDefault="00637236" w:rsidP="00637236">
      <w:pPr>
        <w:pStyle w:val="Normalny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EF6211">
        <w:rPr>
          <w:sz w:val="22"/>
          <w:szCs w:val="22"/>
        </w:rPr>
        <w:t>GCS 13 – 15 – łagodne</w:t>
      </w:r>
    </w:p>
    <w:p w:rsidR="00637236" w:rsidRPr="00EF6211" w:rsidRDefault="00637236" w:rsidP="00637236">
      <w:pPr>
        <w:pStyle w:val="Normalny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EF6211">
        <w:rPr>
          <w:sz w:val="22"/>
          <w:szCs w:val="22"/>
        </w:rPr>
        <w:t>GCS 9 – 12 – umiarkowane</w:t>
      </w:r>
    </w:p>
    <w:p w:rsidR="00637236" w:rsidRPr="00EF6211" w:rsidRDefault="00637236" w:rsidP="00637236">
      <w:pPr>
        <w:pStyle w:val="Normalny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EF6211">
        <w:rPr>
          <w:sz w:val="22"/>
          <w:szCs w:val="22"/>
        </w:rPr>
        <w:t>GCS 6 – 8 – brak przytomności</w:t>
      </w:r>
    </w:p>
    <w:p w:rsidR="00637236" w:rsidRPr="00EF6211" w:rsidRDefault="00637236" w:rsidP="00637236">
      <w:pPr>
        <w:pStyle w:val="Normalny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EF6211">
        <w:rPr>
          <w:sz w:val="22"/>
          <w:szCs w:val="22"/>
        </w:rPr>
        <w:t>GCS 5 – odkorowanie</w:t>
      </w:r>
    </w:p>
    <w:p w:rsidR="00637236" w:rsidRPr="00EF6211" w:rsidRDefault="00637236" w:rsidP="00637236">
      <w:pPr>
        <w:pStyle w:val="Normalny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EF6211">
        <w:rPr>
          <w:sz w:val="22"/>
          <w:szCs w:val="22"/>
        </w:rPr>
        <w:t>GCS 4 – odmóżdżenie</w:t>
      </w:r>
    </w:p>
    <w:p w:rsidR="00637236" w:rsidRPr="00EF6211" w:rsidRDefault="00637236" w:rsidP="00637236">
      <w:pPr>
        <w:pStyle w:val="Normalny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EF6211">
        <w:rPr>
          <w:sz w:val="22"/>
          <w:szCs w:val="22"/>
        </w:rPr>
        <w:t>GCS 3 – śmierć mózgowa</w:t>
      </w:r>
    </w:p>
    <w:p w:rsidR="00637236" w:rsidRDefault="00637236" w:rsidP="00637236">
      <w:pPr>
        <w:ind w:left="3540"/>
        <w:rPr>
          <w:sz w:val="18"/>
          <w:szCs w:val="18"/>
        </w:rPr>
      </w:pPr>
      <w:r w:rsidRPr="00EF6211">
        <w:t>…………………………………</w:t>
      </w:r>
      <w:r>
        <w:t>……….</w:t>
      </w:r>
      <w:r w:rsidRPr="00EF6211">
        <w:t>……………..</w:t>
      </w:r>
      <w:r>
        <w:t xml:space="preserve">                                                                              </w:t>
      </w:r>
      <w:r>
        <w:rPr>
          <w:sz w:val="18"/>
          <w:szCs w:val="18"/>
        </w:rPr>
        <w:t xml:space="preserve">data, pieczęć, podpis lekarza ubezpieczenia zdrowotnego </w:t>
      </w:r>
    </w:p>
    <w:p w:rsidR="00637236" w:rsidRPr="00405970" w:rsidRDefault="00637236" w:rsidP="00637236">
      <w:pPr>
        <w:ind w:left="3540"/>
        <w:rPr>
          <w:sz w:val="18"/>
          <w:szCs w:val="18"/>
        </w:rPr>
      </w:pPr>
      <w:r>
        <w:rPr>
          <w:sz w:val="18"/>
          <w:szCs w:val="18"/>
        </w:rPr>
        <w:t>albo lekarza zakładu opiekuńczego</w:t>
      </w:r>
    </w:p>
    <w:p w:rsidR="00637236" w:rsidRPr="006972D1" w:rsidRDefault="00637236" w:rsidP="00637236">
      <w:r>
        <w:t xml:space="preserve">        </w:t>
      </w:r>
    </w:p>
    <w:p w:rsidR="00637236" w:rsidRDefault="00637236" w:rsidP="00637236">
      <w:pPr>
        <w:rPr>
          <w:sz w:val="18"/>
          <w:szCs w:val="18"/>
        </w:rPr>
      </w:pPr>
    </w:p>
    <w:p w:rsidR="0060008B" w:rsidRDefault="0060008B">
      <w:bookmarkStart w:id="0" w:name="_GoBack"/>
      <w:bookmarkEnd w:id="0"/>
    </w:p>
    <w:sectPr w:rsidR="0060008B">
      <w:pgSz w:w="11906" w:h="16838"/>
      <w:pgMar w:top="938" w:right="1134" w:bottom="112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2274"/>
    <w:multiLevelType w:val="multilevel"/>
    <w:tmpl w:val="696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36"/>
    <w:rsid w:val="0060008B"/>
    <w:rsid w:val="0063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3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37236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23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37236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2017-07-02T19:38:00Z</dcterms:created>
  <dcterms:modified xsi:type="dcterms:W3CDTF">2017-07-02T19:39:00Z</dcterms:modified>
</cp:coreProperties>
</file>